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adjustRightInd w:val="0"/>
        <w:snapToGrid w:val="0"/>
        <w:spacing w:line="320" w:lineRule="atLeast"/>
        <w:ind w:firstLine="0" w:firstLineChars="0"/>
        <w:rPr>
          <w:rFonts w:ascii="黑体" w:hAnsi="黑体" w:eastAsia="黑体"/>
          <w:b/>
          <w:szCs w:val="21"/>
        </w:rPr>
      </w:pPr>
      <w:r>
        <w:rPr>
          <w:rFonts w:hint="eastAsia" w:ascii="黑体" w:hAnsi="黑体" w:eastAsia="黑体"/>
          <w:szCs w:val="21"/>
        </w:rPr>
        <w:t>四、简答题</w:t>
      </w:r>
    </w:p>
    <w:p>
      <w:pPr>
        <w:pStyle w:val="13"/>
        <w:numPr>
          <w:ilvl w:val="0"/>
          <w:numId w:val="1"/>
        </w:numPr>
        <w:adjustRightInd w:val="0"/>
        <w:snapToGrid w:val="0"/>
        <w:spacing w:line="320" w:lineRule="atLeast"/>
        <w:ind w:firstLineChars="0"/>
        <w:rPr>
          <w:szCs w:val="21"/>
        </w:rPr>
      </w:pPr>
      <w:r>
        <w:rPr>
          <w:rFonts w:hint="eastAsia"/>
          <w:szCs w:val="21"/>
        </w:rPr>
        <w:t>依据《国内海洋渔船法定检验技术规则（2019）》，干舷计算中的“位置</w:t>
      </w:r>
      <w:r>
        <w:rPr>
          <w:szCs w:val="21"/>
        </w:rPr>
        <w:t>1</w:t>
      </w:r>
      <w:r>
        <w:rPr>
          <w:rFonts w:hint="eastAsia"/>
          <w:szCs w:val="21"/>
        </w:rPr>
        <w:t>”是指哪些位置？“位置</w:t>
      </w:r>
      <w:r>
        <w:rPr>
          <w:szCs w:val="21"/>
        </w:rPr>
        <w:t>2</w:t>
      </w:r>
      <w:r>
        <w:rPr>
          <w:rFonts w:hint="eastAsia"/>
          <w:szCs w:val="21"/>
        </w:rPr>
        <w:t>”是指哪些位置？</w:t>
      </w:r>
    </w:p>
    <w:p>
      <w:pPr>
        <w:adjustRightInd w:val="0"/>
        <w:snapToGrid w:val="0"/>
        <w:spacing w:line="320" w:lineRule="atLeast"/>
        <w:rPr>
          <w:szCs w:val="21"/>
        </w:rPr>
      </w:pPr>
      <w:r>
        <w:rPr>
          <w:rFonts w:hint="eastAsia"/>
          <w:szCs w:val="21"/>
        </w:rPr>
        <w:t>答案：</w:t>
      </w:r>
    </w:p>
    <w:p>
      <w:pPr>
        <w:adjustRightInd w:val="0"/>
        <w:snapToGrid w:val="0"/>
        <w:spacing w:line="320" w:lineRule="atLeast"/>
        <w:ind w:firstLine="420" w:firstLineChars="200"/>
        <w:rPr>
          <w:szCs w:val="21"/>
        </w:rPr>
      </w:pPr>
      <w:r>
        <w:rPr>
          <w:rFonts w:hint="eastAsia"/>
          <w:szCs w:val="21"/>
        </w:rPr>
        <w:t>“位置</w:t>
      </w:r>
      <w:r>
        <w:rPr>
          <w:szCs w:val="21"/>
        </w:rPr>
        <w:t>1</w:t>
      </w:r>
      <w:r>
        <w:rPr>
          <w:rFonts w:hint="eastAsia"/>
          <w:szCs w:val="21"/>
        </w:rPr>
        <w:t>”系指位于露天的干舷甲板上和后升高甲板上，以及位于距离干舷甲板小于两个标准上层建筑高度的露天上层建筑甲板上距艏垂线</w:t>
      </w:r>
      <w:r>
        <w:rPr>
          <w:szCs w:val="21"/>
        </w:rPr>
        <w:t>1/4</w:t>
      </w:r>
      <w:r>
        <w:rPr>
          <w:rFonts w:hint="eastAsia"/>
          <w:szCs w:val="21"/>
        </w:rPr>
        <w:t>船长以前的部分。</w:t>
      </w:r>
    </w:p>
    <w:p>
      <w:pPr>
        <w:adjustRightInd w:val="0"/>
        <w:snapToGrid w:val="0"/>
        <w:spacing w:line="320" w:lineRule="atLeast"/>
        <w:ind w:firstLine="420" w:firstLineChars="200"/>
        <w:rPr>
          <w:szCs w:val="21"/>
        </w:rPr>
      </w:pPr>
      <w:r>
        <w:rPr>
          <w:rFonts w:hint="eastAsia"/>
          <w:szCs w:val="21"/>
        </w:rPr>
        <w:t>“位置</w:t>
      </w:r>
      <w:r>
        <w:rPr>
          <w:szCs w:val="21"/>
        </w:rPr>
        <w:t>2</w:t>
      </w:r>
      <w:r>
        <w:rPr>
          <w:rFonts w:hint="eastAsia"/>
          <w:szCs w:val="21"/>
        </w:rPr>
        <w:t>”系指位于距离干舷甲板大于或等于一个也小于或等于两个标准上层建筑高度的露天上层建筑甲板上距艏垂线</w:t>
      </w:r>
      <w:r>
        <w:rPr>
          <w:szCs w:val="21"/>
        </w:rPr>
        <w:t>1/4</w:t>
      </w:r>
      <w:r>
        <w:rPr>
          <w:rFonts w:hint="eastAsia"/>
          <w:szCs w:val="21"/>
        </w:rPr>
        <w:t>船长以后的部分，以及位于距离干舷甲板大于或等于两个标准上层建筑高度的露天上层建筑甲板上距艏垂线</w:t>
      </w:r>
      <w:r>
        <w:rPr>
          <w:szCs w:val="21"/>
        </w:rPr>
        <w:t>1/4</w:t>
      </w:r>
      <w:r>
        <w:rPr>
          <w:rFonts w:hint="eastAsia"/>
          <w:szCs w:val="21"/>
        </w:rPr>
        <w:t>船长以前的部分。</w:t>
      </w:r>
    </w:p>
    <w:p>
      <w:pPr>
        <w:pStyle w:val="13"/>
        <w:numPr>
          <w:ilvl w:val="0"/>
          <w:numId w:val="1"/>
        </w:numPr>
        <w:adjustRightInd w:val="0"/>
        <w:snapToGrid w:val="0"/>
        <w:spacing w:line="320" w:lineRule="atLeast"/>
        <w:ind w:firstLineChars="0"/>
        <w:rPr>
          <w:rFonts w:hint="eastAsia"/>
          <w:szCs w:val="21"/>
        </w:rPr>
      </w:pPr>
      <w:r>
        <w:rPr>
          <w:rFonts w:hint="eastAsia"/>
          <w:szCs w:val="21"/>
        </w:rPr>
        <w:t>依据《渔业船舶法定检验规则（2002）》，木质海洋渔船基座木有哪些规定？</w:t>
      </w:r>
    </w:p>
    <w:p>
      <w:pPr>
        <w:rPr>
          <w:szCs w:val="21"/>
        </w:rPr>
      </w:pPr>
      <w:r>
        <w:rPr>
          <w:rFonts w:hint="eastAsia"/>
          <w:szCs w:val="21"/>
        </w:rPr>
        <w:t>答案：</w:t>
      </w:r>
    </w:p>
    <w:p>
      <w:pPr>
        <w:adjustRightInd w:val="0"/>
        <w:snapToGrid w:val="0"/>
        <w:spacing w:line="320" w:lineRule="atLeast"/>
        <w:ind w:firstLine="420" w:firstLineChars="200"/>
        <w:rPr>
          <w:rFonts w:hint="eastAsia"/>
          <w:szCs w:val="21"/>
        </w:rPr>
      </w:pPr>
      <w:r>
        <w:rPr>
          <w:rFonts w:hint="eastAsia"/>
          <w:szCs w:val="21"/>
        </w:rPr>
        <w:t>木质海洋渔船基座木的规定：</w:t>
      </w:r>
    </w:p>
    <w:p>
      <w:pPr>
        <w:adjustRightInd w:val="0"/>
        <w:snapToGrid w:val="0"/>
        <w:spacing w:line="320" w:lineRule="atLeast"/>
        <w:ind w:firstLine="420" w:firstLineChars="200"/>
        <w:rPr>
          <w:rFonts w:hint="eastAsia"/>
          <w:szCs w:val="21"/>
        </w:rPr>
      </w:pPr>
      <w:r>
        <w:rPr>
          <w:rFonts w:hint="eastAsia"/>
          <w:szCs w:val="21"/>
        </w:rPr>
        <w:t>（1）基座木应为整材，左右同一材种</w:t>
      </w:r>
      <w:r>
        <w:rPr>
          <w:rFonts w:hint="eastAsia"/>
          <w:szCs w:val="21"/>
          <w:lang w:eastAsia="zh-CN"/>
        </w:rPr>
        <w:t>。</w:t>
      </w:r>
    </w:p>
    <w:p>
      <w:pPr>
        <w:adjustRightInd w:val="0"/>
        <w:snapToGrid w:val="0"/>
        <w:spacing w:line="320" w:lineRule="atLeast"/>
        <w:ind w:firstLine="420" w:firstLineChars="200"/>
        <w:rPr>
          <w:rFonts w:hint="eastAsia"/>
          <w:szCs w:val="21"/>
        </w:rPr>
      </w:pPr>
      <w:r>
        <w:rPr>
          <w:rFonts w:hint="eastAsia"/>
          <w:szCs w:val="21"/>
        </w:rPr>
        <w:t>（2）加工基座木必须在高度上留有足够的装配余量</w:t>
      </w:r>
      <w:r>
        <w:rPr>
          <w:rFonts w:hint="eastAsia"/>
          <w:szCs w:val="21"/>
          <w:lang w:eastAsia="zh-CN"/>
        </w:rPr>
        <w:t>。</w:t>
      </w:r>
    </w:p>
    <w:p>
      <w:pPr>
        <w:adjustRightInd w:val="0"/>
        <w:snapToGrid w:val="0"/>
        <w:spacing w:line="320" w:lineRule="atLeast"/>
        <w:ind w:firstLine="420" w:firstLineChars="200"/>
        <w:rPr>
          <w:rFonts w:hint="eastAsia"/>
          <w:szCs w:val="21"/>
        </w:rPr>
      </w:pPr>
      <w:r>
        <w:rPr>
          <w:rFonts w:hint="eastAsia"/>
          <w:szCs w:val="21"/>
        </w:rPr>
        <w:t>（3）基座木两端应伸过机舱前、后舱壁，并用螺栓紧固；船长小于12m时，可适当放宽</w:t>
      </w:r>
      <w:r>
        <w:rPr>
          <w:rFonts w:hint="eastAsia"/>
          <w:szCs w:val="21"/>
          <w:lang w:eastAsia="zh-CN"/>
        </w:rPr>
        <w:t>。</w:t>
      </w:r>
    </w:p>
    <w:p>
      <w:pPr>
        <w:adjustRightInd w:val="0"/>
        <w:snapToGrid w:val="0"/>
        <w:spacing w:line="320" w:lineRule="atLeast"/>
        <w:ind w:firstLine="420" w:firstLineChars="200"/>
        <w:rPr>
          <w:rFonts w:hint="eastAsia"/>
          <w:szCs w:val="21"/>
        </w:rPr>
      </w:pPr>
      <w:r>
        <w:rPr>
          <w:rFonts w:hint="eastAsia"/>
          <w:szCs w:val="21"/>
        </w:rPr>
        <w:t>（4）基座木应与底肋骨紧密贴合，并在每道底肋骨上至少用1枚螺栓贯通龙骨翼板与底肋骨紧固。</w:t>
      </w:r>
    </w:p>
    <w:p>
      <w:pPr>
        <w:pStyle w:val="13"/>
        <w:numPr>
          <w:ilvl w:val="0"/>
          <w:numId w:val="1"/>
        </w:numPr>
        <w:adjustRightInd w:val="0"/>
        <w:snapToGrid w:val="0"/>
        <w:spacing w:line="320" w:lineRule="atLeast"/>
        <w:ind w:firstLineChars="0"/>
        <w:rPr>
          <w:rFonts w:hint="eastAsia"/>
          <w:szCs w:val="21"/>
        </w:rPr>
      </w:pPr>
      <w:r>
        <w:rPr>
          <w:rFonts w:hint="eastAsia"/>
          <w:szCs w:val="21"/>
        </w:rPr>
        <w:t>依据《国内海洋渔船法定检验技术规则（2019）》，渔船配置固定压载的要求是什么?</w:t>
      </w:r>
    </w:p>
    <w:p>
      <w:pPr>
        <w:rPr>
          <w:szCs w:val="21"/>
        </w:rPr>
      </w:pPr>
      <w:r>
        <w:rPr>
          <w:rFonts w:hint="eastAsia"/>
          <w:szCs w:val="21"/>
        </w:rPr>
        <w:t>答案：</w:t>
      </w:r>
    </w:p>
    <w:p>
      <w:pPr>
        <w:adjustRightInd w:val="0"/>
        <w:snapToGrid w:val="0"/>
        <w:spacing w:line="320" w:lineRule="atLeast"/>
        <w:ind w:firstLine="420" w:firstLineChars="200"/>
        <w:rPr>
          <w:rFonts w:hint="eastAsia"/>
          <w:szCs w:val="21"/>
        </w:rPr>
      </w:pPr>
      <w:r>
        <w:rPr>
          <w:rFonts w:hint="eastAsia"/>
          <w:szCs w:val="21"/>
        </w:rPr>
        <w:t>渔船配置固定压载的要求是：</w:t>
      </w:r>
    </w:p>
    <w:p>
      <w:pPr>
        <w:adjustRightInd w:val="0"/>
        <w:snapToGrid w:val="0"/>
        <w:spacing w:line="320" w:lineRule="atLeast"/>
        <w:ind w:firstLine="420" w:firstLineChars="200"/>
        <w:rPr>
          <w:rFonts w:hint="eastAsia"/>
          <w:szCs w:val="21"/>
        </w:rPr>
      </w:pPr>
      <w:r>
        <w:rPr>
          <w:rFonts w:hint="eastAsia"/>
          <w:szCs w:val="21"/>
        </w:rPr>
        <w:t>（1）如使用固定压载，其安置位置应根据船舶检验机构批准的图纸确定，并能防止移位。</w:t>
      </w:r>
    </w:p>
    <w:p>
      <w:pPr>
        <w:adjustRightInd w:val="0"/>
        <w:snapToGrid w:val="0"/>
        <w:spacing w:line="320" w:lineRule="atLeast"/>
        <w:ind w:firstLine="420" w:firstLineChars="200"/>
        <w:rPr>
          <w:rFonts w:hint="eastAsia"/>
          <w:szCs w:val="21"/>
        </w:rPr>
      </w:pPr>
      <w:r>
        <w:rPr>
          <w:rFonts w:hint="eastAsia"/>
          <w:szCs w:val="21"/>
        </w:rPr>
        <w:t>（2）固定压载的详细情况应在船舶的稳性资料中注明。</w:t>
      </w:r>
    </w:p>
    <w:p>
      <w:pPr>
        <w:adjustRightInd w:val="0"/>
        <w:snapToGrid w:val="0"/>
        <w:spacing w:line="320" w:lineRule="atLeast"/>
        <w:ind w:firstLine="420" w:firstLineChars="200"/>
        <w:rPr>
          <w:rFonts w:hint="eastAsia"/>
          <w:szCs w:val="21"/>
        </w:rPr>
      </w:pPr>
      <w:r>
        <w:rPr>
          <w:rFonts w:hint="eastAsia"/>
          <w:szCs w:val="21"/>
        </w:rPr>
        <w:t>（3）未经船舶检验机构同意，固定压载既不能从船上移走亦不能在船上重新安置。</w:t>
      </w:r>
    </w:p>
    <w:p>
      <w:pPr>
        <w:pStyle w:val="13"/>
        <w:numPr>
          <w:ilvl w:val="0"/>
          <w:numId w:val="1"/>
        </w:numPr>
        <w:adjustRightInd w:val="0"/>
        <w:snapToGrid w:val="0"/>
        <w:spacing w:line="320" w:lineRule="atLeast"/>
        <w:ind w:firstLineChars="0"/>
        <w:rPr>
          <w:rFonts w:hint="eastAsia"/>
          <w:szCs w:val="21"/>
        </w:rPr>
      </w:pPr>
      <w:r>
        <w:rPr>
          <w:rFonts w:hint="eastAsia"/>
          <w:szCs w:val="21"/>
        </w:rPr>
        <w:t>依据《国内海洋渔船法定检验技术规则（2019）》，在稳性计算中，以特殊渔法从事渔捞作业的渔船，凡作业时将承受附加外力作用的，应考虑附加外力对稳性的影响。在核算捕鱼中工况时，考虑渔具操作力矩对初重稳距和稳性曲线的影响，主要应考虑哪些因素？</w:t>
      </w:r>
    </w:p>
    <w:p>
      <w:pPr>
        <w:rPr>
          <w:szCs w:val="21"/>
        </w:rPr>
      </w:pPr>
      <w:r>
        <w:rPr>
          <w:rFonts w:hint="eastAsia"/>
          <w:szCs w:val="21"/>
        </w:rPr>
        <w:t>答案：</w:t>
      </w:r>
    </w:p>
    <w:p>
      <w:pPr>
        <w:adjustRightInd w:val="0"/>
        <w:snapToGrid w:val="0"/>
        <w:spacing w:line="320" w:lineRule="atLeast"/>
        <w:ind w:firstLine="420" w:firstLineChars="200"/>
        <w:rPr>
          <w:rFonts w:hint="eastAsia"/>
          <w:szCs w:val="21"/>
        </w:rPr>
      </w:pPr>
      <w:r>
        <w:rPr>
          <w:rFonts w:hint="eastAsia"/>
          <w:szCs w:val="21"/>
        </w:rPr>
        <w:t>主要应考虑的因素有：</w:t>
      </w:r>
    </w:p>
    <w:p>
      <w:pPr>
        <w:adjustRightInd w:val="0"/>
        <w:snapToGrid w:val="0"/>
        <w:spacing w:line="320" w:lineRule="atLeast"/>
        <w:ind w:firstLine="420" w:firstLineChars="200"/>
        <w:rPr>
          <w:rFonts w:hint="eastAsia"/>
          <w:szCs w:val="21"/>
        </w:rPr>
      </w:pPr>
      <w:r>
        <w:rPr>
          <w:rFonts w:hint="eastAsia"/>
          <w:szCs w:val="21"/>
        </w:rPr>
        <w:t>（1）起吊渔获物或渔具操作的横倾力矩（以大者为准）应小于船舶横倾12°或甲板边缘入水角（以小者为准）所对应的复原力矩</w:t>
      </w:r>
      <w:r>
        <w:rPr>
          <w:rFonts w:hint="eastAsia"/>
          <w:szCs w:val="21"/>
          <w:lang w:eastAsia="zh-CN"/>
        </w:rPr>
        <w:t>。</w:t>
      </w:r>
    </w:p>
    <w:p>
      <w:pPr>
        <w:adjustRightInd w:val="0"/>
        <w:snapToGrid w:val="0"/>
        <w:spacing w:line="320" w:lineRule="atLeast"/>
        <w:ind w:firstLine="420" w:firstLineChars="200"/>
        <w:rPr>
          <w:rFonts w:hint="eastAsia"/>
          <w:szCs w:val="21"/>
        </w:rPr>
      </w:pPr>
      <w:r>
        <w:rPr>
          <w:rFonts w:hint="eastAsia"/>
          <w:szCs w:val="21"/>
        </w:rPr>
        <w:t>（2）起吊渔获物时应计及悬挂载荷对初稳性的影响</w:t>
      </w:r>
      <w:r>
        <w:rPr>
          <w:rFonts w:hint="eastAsia"/>
          <w:szCs w:val="21"/>
          <w:lang w:eastAsia="zh-CN"/>
        </w:rPr>
        <w:t>。</w:t>
      </w:r>
    </w:p>
    <w:p>
      <w:pPr>
        <w:adjustRightInd w:val="0"/>
        <w:snapToGrid w:val="0"/>
        <w:spacing w:line="320" w:lineRule="atLeast"/>
        <w:ind w:firstLine="420" w:firstLineChars="200"/>
        <w:rPr>
          <w:rFonts w:hint="eastAsia"/>
          <w:szCs w:val="21"/>
        </w:rPr>
      </w:pPr>
      <w:r>
        <w:rPr>
          <w:rFonts w:hint="eastAsia"/>
          <w:szCs w:val="21"/>
        </w:rPr>
        <w:t>（3）应计及渔具操作的横倾力矩对稳性曲线的影响；当船舶横倾30°且复原力臂的影响值小于0.01m，可免除此项修正，但需作出说明。</w:t>
      </w:r>
    </w:p>
    <w:p>
      <w:pPr>
        <w:pStyle w:val="13"/>
        <w:numPr>
          <w:ilvl w:val="0"/>
          <w:numId w:val="1"/>
        </w:numPr>
        <w:adjustRightInd w:val="0"/>
        <w:snapToGrid w:val="0"/>
        <w:spacing w:line="320" w:lineRule="atLeast"/>
        <w:ind w:firstLineChars="0"/>
        <w:rPr>
          <w:rFonts w:hint="eastAsia"/>
          <w:szCs w:val="21"/>
        </w:rPr>
      </w:pPr>
      <w:r>
        <w:rPr>
          <w:rFonts w:hint="eastAsia"/>
          <w:szCs w:val="21"/>
        </w:rPr>
        <w:t>依据《国内海洋渔船法定检验技术规则（2019）》，请简述渔船上救生筏的存放要求。</w:t>
      </w:r>
    </w:p>
    <w:p>
      <w:pPr>
        <w:rPr>
          <w:color w:val="auto"/>
          <w:szCs w:val="21"/>
        </w:rPr>
      </w:pPr>
      <w:r>
        <w:rPr>
          <w:rFonts w:hint="eastAsia"/>
          <w:color w:val="auto"/>
          <w:szCs w:val="21"/>
        </w:rPr>
        <w:t>答案：</w:t>
      </w:r>
    </w:p>
    <w:p>
      <w:pPr>
        <w:adjustRightInd w:val="0"/>
        <w:snapToGrid w:val="0"/>
        <w:spacing w:line="320" w:lineRule="atLeast"/>
        <w:ind w:firstLine="420" w:firstLineChars="200"/>
        <w:rPr>
          <w:rFonts w:hint="eastAsia"/>
          <w:szCs w:val="21"/>
        </w:rPr>
      </w:pPr>
      <w:r>
        <w:rPr>
          <w:rFonts w:hint="eastAsia"/>
          <w:szCs w:val="21"/>
        </w:rPr>
        <w:t>（1）使能在船舶下沉时能从存放位置浮离，充气并与船舶脱开。但使用吊艇架降落的救生筏不需自由浮离</w:t>
      </w:r>
      <w:r>
        <w:rPr>
          <w:rFonts w:hint="eastAsia"/>
          <w:szCs w:val="21"/>
          <w:lang w:eastAsia="zh-CN"/>
        </w:rPr>
        <w:t>。</w:t>
      </w:r>
    </w:p>
    <w:p>
      <w:pPr>
        <w:adjustRightInd w:val="0"/>
        <w:snapToGrid w:val="0"/>
        <w:spacing w:line="320" w:lineRule="atLeast"/>
        <w:ind w:firstLine="420" w:firstLineChars="200"/>
        <w:rPr>
          <w:rFonts w:hint="eastAsia"/>
          <w:szCs w:val="21"/>
          <w:lang w:eastAsia="zh-CN"/>
        </w:rPr>
      </w:pPr>
      <w:r>
        <w:rPr>
          <w:rFonts w:hint="eastAsia"/>
          <w:szCs w:val="21"/>
        </w:rPr>
        <w:t>（2）若使用系索，则应配备一种认可型的自动（静压）释放系统</w:t>
      </w:r>
      <w:r>
        <w:rPr>
          <w:rFonts w:hint="eastAsia"/>
          <w:szCs w:val="21"/>
          <w:lang w:eastAsia="zh-CN"/>
        </w:rPr>
        <w:t>。</w:t>
      </w:r>
    </w:p>
    <w:p>
      <w:pPr>
        <w:adjustRightInd w:val="0"/>
        <w:snapToGrid w:val="0"/>
        <w:spacing w:line="320" w:lineRule="atLeast"/>
        <w:ind w:firstLine="420" w:firstLineChars="200"/>
        <w:rPr>
          <w:rFonts w:hint="eastAsia"/>
          <w:szCs w:val="21"/>
        </w:rPr>
      </w:pPr>
      <w:r>
        <w:rPr>
          <w:rFonts w:hint="eastAsia"/>
          <w:szCs w:val="21"/>
        </w:rPr>
        <w:t>（3）每只救生筏的存放应将其首缆牢固地系在船上。</w:t>
      </w:r>
    </w:p>
    <w:p>
      <w:pPr>
        <w:pStyle w:val="13"/>
        <w:numPr>
          <w:ilvl w:val="0"/>
          <w:numId w:val="1"/>
        </w:numPr>
        <w:adjustRightInd w:val="0"/>
        <w:snapToGrid w:val="0"/>
        <w:spacing w:line="320" w:lineRule="atLeast"/>
        <w:ind w:firstLineChars="0"/>
        <w:rPr>
          <w:rFonts w:hint="eastAsia"/>
          <w:szCs w:val="21"/>
        </w:rPr>
      </w:pPr>
      <w:r>
        <w:rPr>
          <w:rFonts w:hint="eastAsia"/>
          <w:szCs w:val="21"/>
        </w:rPr>
        <w:t>依据《国内海洋渔船法定检验技术规则（2019）》，请简述总长小于20m的渔船，其舷灯配备及装设遮板的要求。</w:t>
      </w:r>
    </w:p>
    <w:p>
      <w:pPr>
        <w:rPr>
          <w:color w:val="auto"/>
          <w:szCs w:val="21"/>
        </w:rPr>
      </w:pPr>
      <w:r>
        <w:rPr>
          <w:rFonts w:hint="eastAsia"/>
          <w:color w:val="auto"/>
          <w:szCs w:val="21"/>
        </w:rPr>
        <w:t>答案：</w:t>
      </w:r>
    </w:p>
    <w:p>
      <w:pPr>
        <w:widowControl/>
        <w:ind w:firstLine="420" w:firstLineChars="200"/>
        <w:jc w:val="left"/>
        <w:rPr>
          <w:color w:val="auto"/>
          <w:kern w:val="0"/>
          <w:sz w:val="20"/>
          <w:szCs w:val="20"/>
          <w:lang w:bidi="ar"/>
        </w:rPr>
      </w:pPr>
      <w:r>
        <w:rPr>
          <w:rFonts w:hint="eastAsia"/>
          <w:szCs w:val="21"/>
        </w:rPr>
        <w:t>总长小于20m的渔船，如配备左右舷灯，则舷灯应装设无光黑色的内侧遮板。如配备用单一直立灯丝并在绿色和红色两部分之间有一条很窄分界线的合座灯，可不必装配外部遮板。</w:t>
      </w:r>
    </w:p>
    <w:p>
      <w:pPr>
        <w:pStyle w:val="13"/>
        <w:numPr>
          <w:ilvl w:val="0"/>
          <w:numId w:val="1"/>
        </w:numPr>
        <w:adjustRightInd w:val="0"/>
        <w:snapToGrid w:val="0"/>
        <w:spacing w:line="320" w:lineRule="atLeast"/>
        <w:ind w:firstLineChars="0"/>
        <w:rPr>
          <w:rFonts w:hint="eastAsia"/>
          <w:szCs w:val="21"/>
        </w:rPr>
      </w:pPr>
      <w:r>
        <w:rPr>
          <w:rFonts w:hint="eastAsia"/>
          <w:szCs w:val="21"/>
        </w:rPr>
        <w:t>依据《国内海洋小型渔船法定检验技术规则（2019）》，请简述一艘总长10</w:t>
      </w:r>
      <w:r>
        <w:rPr>
          <w:rFonts w:hint="eastAsia"/>
          <w:szCs w:val="21"/>
          <w:lang w:val="en-US" w:eastAsia="zh-CN"/>
        </w:rPr>
        <w:t>.00</w:t>
      </w:r>
      <w:r>
        <w:rPr>
          <w:rFonts w:hint="eastAsia"/>
          <w:szCs w:val="21"/>
        </w:rPr>
        <w:t>m航行作业于沿海航区需要夜航的钢质刺网渔船号灯的配备要求。</w:t>
      </w:r>
    </w:p>
    <w:p>
      <w:pPr>
        <w:rPr>
          <w:color w:val="auto"/>
          <w:szCs w:val="21"/>
        </w:rPr>
      </w:pPr>
      <w:r>
        <w:rPr>
          <w:rFonts w:hint="eastAsia"/>
          <w:color w:val="auto"/>
          <w:szCs w:val="21"/>
        </w:rPr>
        <w:t>答案：</w:t>
      </w:r>
    </w:p>
    <w:p>
      <w:pPr>
        <w:adjustRightInd w:val="0"/>
        <w:snapToGrid w:val="0"/>
        <w:spacing w:line="320" w:lineRule="atLeast"/>
        <w:ind w:firstLine="420" w:firstLineChars="200"/>
        <w:rPr>
          <w:rFonts w:hint="eastAsia"/>
          <w:szCs w:val="21"/>
          <w:lang w:val="en-US" w:eastAsia="zh-CN"/>
        </w:rPr>
      </w:pPr>
      <w:r>
        <w:rPr>
          <w:rFonts w:hint="eastAsia"/>
          <w:szCs w:val="21"/>
          <w:lang w:eastAsia="zh-CN"/>
        </w:rPr>
        <w:t>（</w:t>
      </w:r>
      <w:r>
        <w:rPr>
          <w:rFonts w:hint="eastAsia"/>
          <w:szCs w:val="21"/>
          <w:lang w:val="en-US" w:eastAsia="zh-CN"/>
        </w:rPr>
        <w:t>1</w:t>
      </w:r>
      <w:r>
        <w:rPr>
          <w:rFonts w:hint="eastAsia"/>
          <w:szCs w:val="21"/>
          <w:lang w:eastAsia="zh-CN"/>
        </w:rPr>
        <w:t>）</w:t>
      </w:r>
      <w:r>
        <w:rPr>
          <w:rFonts w:hint="eastAsia"/>
          <w:szCs w:val="21"/>
        </w:rPr>
        <w:t>一个桅灯（白色），一个艉灯（白色），或用1盏白环照灯代替</w:t>
      </w:r>
      <w:r>
        <w:rPr>
          <w:rFonts w:hint="eastAsia"/>
          <w:szCs w:val="21"/>
          <w:lang w:eastAsia="zh-CN"/>
        </w:rPr>
        <w:t>。</w:t>
      </w:r>
    </w:p>
    <w:p>
      <w:pPr>
        <w:adjustRightInd w:val="0"/>
        <w:snapToGrid w:val="0"/>
        <w:spacing w:line="320" w:lineRule="atLeast"/>
        <w:ind w:firstLine="420" w:firstLineChars="200"/>
        <w:rPr>
          <w:rFonts w:hint="eastAsia"/>
          <w:szCs w:val="21"/>
          <w:lang w:eastAsia="zh-CN"/>
        </w:rPr>
      </w:pPr>
      <w:r>
        <w:rPr>
          <w:rFonts w:hint="eastAsia"/>
          <w:szCs w:val="21"/>
          <w:lang w:eastAsia="zh-CN"/>
        </w:rPr>
        <w:t>（</w:t>
      </w:r>
      <w:r>
        <w:rPr>
          <w:rFonts w:hint="eastAsia"/>
          <w:szCs w:val="21"/>
          <w:lang w:val="en-US" w:eastAsia="zh-CN"/>
        </w:rPr>
        <w:t>2</w:t>
      </w:r>
      <w:r>
        <w:rPr>
          <w:rFonts w:hint="eastAsia"/>
          <w:szCs w:val="21"/>
          <w:lang w:eastAsia="zh-CN"/>
        </w:rPr>
        <w:t>）</w:t>
      </w:r>
      <w:r>
        <w:rPr>
          <w:rFonts w:hint="eastAsia"/>
          <w:szCs w:val="21"/>
        </w:rPr>
        <w:t>一个左舷灯（红色），一个右舷灯（红色），或由双色灯替代</w:t>
      </w:r>
      <w:r>
        <w:rPr>
          <w:rFonts w:hint="eastAsia"/>
          <w:szCs w:val="21"/>
          <w:lang w:eastAsia="zh-CN"/>
        </w:rPr>
        <w:t>。</w:t>
      </w:r>
    </w:p>
    <w:p>
      <w:pPr>
        <w:adjustRightInd w:val="0"/>
        <w:snapToGrid w:val="0"/>
        <w:spacing w:line="320" w:lineRule="atLeast"/>
        <w:ind w:firstLine="420" w:firstLineChars="200"/>
        <w:rPr>
          <w:rFonts w:hint="eastAsia"/>
          <w:szCs w:val="21"/>
          <w:lang w:eastAsia="zh-CN"/>
        </w:rPr>
      </w:pPr>
      <w:r>
        <w:rPr>
          <w:rFonts w:hint="eastAsia"/>
          <w:szCs w:val="21"/>
          <w:lang w:eastAsia="zh-CN"/>
        </w:rPr>
        <w:t>（</w:t>
      </w:r>
      <w:r>
        <w:rPr>
          <w:rFonts w:hint="eastAsia"/>
          <w:szCs w:val="21"/>
          <w:lang w:val="en-US" w:eastAsia="zh-CN"/>
        </w:rPr>
        <w:t>3</w:t>
      </w:r>
      <w:r>
        <w:rPr>
          <w:rFonts w:hint="eastAsia"/>
          <w:szCs w:val="21"/>
          <w:lang w:eastAsia="zh-CN"/>
        </w:rPr>
        <w:t>）</w:t>
      </w:r>
      <w:r>
        <w:rPr>
          <w:rFonts w:hint="eastAsia"/>
          <w:szCs w:val="21"/>
        </w:rPr>
        <w:t>一个红色环照灯，一个白色环照灯</w:t>
      </w:r>
      <w:r>
        <w:rPr>
          <w:rFonts w:hint="eastAsia"/>
          <w:szCs w:val="21"/>
          <w:lang w:eastAsia="zh-CN"/>
        </w:rPr>
        <w:t>。</w:t>
      </w:r>
    </w:p>
    <w:p>
      <w:pPr>
        <w:pStyle w:val="13"/>
        <w:numPr>
          <w:ilvl w:val="0"/>
          <w:numId w:val="1"/>
        </w:numPr>
        <w:adjustRightInd w:val="0"/>
        <w:snapToGrid w:val="0"/>
        <w:spacing w:line="320" w:lineRule="atLeast"/>
        <w:ind w:firstLineChars="0"/>
        <w:rPr>
          <w:rFonts w:hint="eastAsia"/>
          <w:szCs w:val="21"/>
        </w:rPr>
      </w:pPr>
      <w:r>
        <w:rPr>
          <w:rFonts w:hint="eastAsia"/>
          <w:szCs w:val="21"/>
        </w:rPr>
        <w:t>依据《国内海洋小型渔船法定检验技术规则（2019）》，请简述一艘船长10.8</w:t>
      </w:r>
      <w:r>
        <w:rPr>
          <w:rFonts w:hint="eastAsia"/>
          <w:szCs w:val="21"/>
          <w:lang w:val="en-US" w:eastAsia="zh-CN"/>
        </w:rPr>
        <w:t>0</w:t>
      </w:r>
      <w:bookmarkStart w:id="0" w:name="_GoBack"/>
      <w:bookmarkEnd w:id="0"/>
      <w:r>
        <w:rPr>
          <w:rFonts w:hint="eastAsia"/>
          <w:szCs w:val="21"/>
        </w:rPr>
        <w:t>m航行作业于沿海航区的钢质拖虾船的救生设备（包括遇险信号）的配置要求。</w:t>
      </w:r>
    </w:p>
    <w:p>
      <w:pP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答案：</w:t>
      </w:r>
    </w:p>
    <w:p>
      <w:pPr>
        <w:adjustRightInd w:val="0"/>
        <w:snapToGrid w:val="0"/>
        <w:spacing w:line="320" w:lineRule="atLeast"/>
        <w:ind w:firstLine="420" w:firstLineChars="200"/>
        <w:rPr>
          <w:rFonts w:hint="eastAsia"/>
          <w:szCs w:val="21"/>
        </w:rPr>
      </w:pPr>
      <w:r>
        <w:rPr>
          <w:rFonts w:hint="eastAsia"/>
          <w:szCs w:val="21"/>
          <w:lang w:eastAsia="zh-CN"/>
        </w:rPr>
        <w:t>（</w:t>
      </w:r>
      <w:r>
        <w:rPr>
          <w:rFonts w:hint="eastAsia"/>
          <w:szCs w:val="21"/>
          <w:lang w:val="en-US" w:eastAsia="zh-CN"/>
        </w:rPr>
        <w:t>1</w:t>
      </w:r>
      <w:r>
        <w:rPr>
          <w:rFonts w:hint="eastAsia"/>
          <w:szCs w:val="21"/>
          <w:lang w:eastAsia="zh-CN"/>
        </w:rPr>
        <w:t>）</w:t>
      </w:r>
      <w:r>
        <w:rPr>
          <w:rFonts w:hint="eastAsia"/>
          <w:szCs w:val="21"/>
        </w:rPr>
        <w:t>至少应当配置1个救生圈。</w:t>
      </w:r>
    </w:p>
    <w:p>
      <w:pPr>
        <w:adjustRightInd w:val="0"/>
        <w:snapToGrid w:val="0"/>
        <w:spacing w:line="320" w:lineRule="atLeast"/>
        <w:ind w:firstLine="420" w:firstLineChars="200"/>
        <w:rPr>
          <w:rFonts w:hint="eastAsia"/>
          <w:szCs w:val="21"/>
        </w:rPr>
      </w:pPr>
      <w:r>
        <w:rPr>
          <w:rFonts w:hint="eastAsia"/>
          <w:szCs w:val="21"/>
          <w:lang w:eastAsia="zh-CN"/>
        </w:rPr>
        <w:t>（</w:t>
      </w:r>
      <w:r>
        <w:rPr>
          <w:rFonts w:hint="eastAsia"/>
          <w:szCs w:val="21"/>
          <w:lang w:val="en-US" w:eastAsia="zh-CN"/>
        </w:rPr>
        <w:t>2</w:t>
      </w:r>
      <w:r>
        <w:rPr>
          <w:rFonts w:hint="eastAsia"/>
          <w:szCs w:val="21"/>
          <w:lang w:eastAsia="zh-CN"/>
        </w:rPr>
        <w:t>）</w:t>
      </w:r>
      <w:r>
        <w:rPr>
          <w:rFonts w:hint="eastAsia"/>
          <w:szCs w:val="21"/>
        </w:rPr>
        <w:t>每人应配备1件救生衣，其配备的救生衣应配备经认可的救生衣灯。</w:t>
      </w:r>
    </w:p>
    <w:p>
      <w:pPr>
        <w:adjustRightInd w:val="0"/>
        <w:snapToGrid w:val="0"/>
        <w:spacing w:line="320" w:lineRule="atLeast"/>
        <w:ind w:firstLine="420" w:firstLineChars="200"/>
        <w:rPr>
          <w:rFonts w:hint="eastAsia"/>
          <w:szCs w:val="21"/>
        </w:rPr>
      </w:pPr>
      <w:r>
        <w:rPr>
          <w:rFonts w:hint="eastAsia"/>
          <w:szCs w:val="21"/>
          <w:lang w:eastAsia="zh-CN"/>
        </w:rPr>
        <w:t>（</w:t>
      </w:r>
      <w:r>
        <w:rPr>
          <w:rFonts w:hint="eastAsia"/>
          <w:szCs w:val="21"/>
          <w:lang w:val="en-US" w:eastAsia="zh-CN"/>
        </w:rPr>
        <w:t>3</w:t>
      </w:r>
      <w:r>
        <w:rPr>
          <w:rFonts w:hint="eastAsia"/>
          <w:szCs w:val="21"/>
          <w:lang w:eastAsia="zh-CN"/>
        </w:rPr>
        <w:t>）</w:t>
      </w:r>
      <w:r>
        <w:rPr>
          <w:rFonts w:hint="eastAsia"/>
          <w:szCs w:val="21"/>
        </w:rPr>
        <w:t>至少应配备4支降落伞火箭信号。</w:t>
      </w:r>
    </w:p>
    <w:p>
      <w:pPr>
        <w:adjustRightInd w:val="0"/>
        <w:snapToGrid w:val="0"/>
        <w:spacing w:line="320" w:lineRule="atLeast"/>
        <w:ind w:firstLine="420" w:firstLineChars="200"/>
        <w:rPr>
          <w:rFonts w:hint="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A738E"/>
    <w:multiLevelType w:val="multilevel"/>
    <w:tmpl w:val="1F0A738E"/>
    <w:lvl w:ilvl="0" w:tentative="0">
      <w:start w:val="1"/>
      <w:numFmt w:val="decimal"/>
      <w:suff w:val="space"/>
      <w:lvlText w:val="%1."/>
      <w:lvlJc w:val="left"/>
      <w:pPr>
        <w:ind w:left="0" w:firstLine="0"/>
      </w:pPr>
      <w:rPr>
        <w:rFonts w:hint="eastAsia"/>
      </w:rPr>
    </w:lvl>
    <w:lvl w:ilvl="1" w:tentative="0">
      <w:start w:val="1"/>
      <w:numFmt w:val="decimal"/>
      <w:lvlText w:val="（%2）"/>
      <w:lvlJc w:val="left"/>
      <w:pPr>
        <w:ind w:left="1140" w:hanging="720"/>
      </w:pPr>
      <w:rPr>
        <w:lang w:val="en-US"/>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8974D8"/>
    <w:rsid w:val="000B77BB"/>
    <w:rsid w:val="000F6B0E"/>
    <w:rsid w:val="00142BEE"/>
    <w:rsid w:val="001E64BB"/>
    <w:rsid w:val="002E4789"/>
    <w:rsid w:val="004140A3"/>
    <w:rsid w:val="004F03EC"/>
    <w:rsid w:val="005A69F4"/>
    <w:rsid w:val="006858AE"/>
    <w:rsid w:val="00772D42"/>
    <w:rsid w:val="007A50A0"/>
    <w:rsid w:val="008418A9"/>
    <w:rsid w:val="008974D8"/>
    <w:rsid w:val="008D3D74"/>
    <w:rsid w:val="008E2946"/>
    <w:rsid w:val="009C67DC"/>
    <w:rsid w:val="009F545A"/>
    <w:rsid w:val="00A42220"/>
    <w:rsid w:val="00A7682C"/>
    <w:rsid w:val="00AE4E9E"/>
    <w:rsid w:val="00B430A5"/>
    <w:rsid w:val="00B75CAA"/>
    <w:rsid w:val="00B91EED"/>
    <w:rsid w:val="00BE65FB"/>
    <w:rsid w:val="00C4150E"/>
    <w:rsid w:val="00C62283"/>
    <w:rsid w:val="00D1543E"/>
    <w:rsid w:val="00D472C5"/>
    <w:rsid w:val="00D71188"/>
    <w:rsid w:val="00E26188"/>
    <w:rsid w:val="00E94E02"/>
    <w:rsid w:val="00EA3591"/>
    <w:rsid w:val="00F00225"/>
    <w:rsid w:val="00F22662"/>
    <w:rsid w:val="00F613DB"/>
    <w:rsid w:val="00F762F7"/>
    <w:rsid w:val="00FD3CD6"/>
    <w:rsid w:val="00FF477C"/>
    <w:rsid w:val="00FF6F78"/>
    <w:rsid w:val="1F8A69CD"/>
    <w:rsid w:val="366520D4"/>
    <w:rsid w:val="36D14541"/>
    <w:rsid w:val="3AFE60EF"/>
    <w:rsid w:val="3B3B4596"/>
    <w:rsid w:val="40061A60"/>
    <w:rsid w:val="4C800047"/>
    <w:rsid w:val="702049E1"/>
    <w:rsid w:val="777E7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Plain Text"/>
    <w:basedOn w:val="1"/>
    <w:link w:val="14"/>
    <w:semiHidden/>
    <w:unhideWhenUsed/>
    <w:qFormat/>
    <w:uiPriority w:val="0"/>
    <w:rPr>
      <w:rFonts w:ascii="宋体" w:hAnsi="Courier New" w:eastAsiaTheme="minorEastAsia" w:cstheme="minorBidi"/>
      <w:szCs w:val="22"/>
    </w:rPr>
  </w:style>
  <w:style w:type="paragraph" w:styleId="4">
    <w:name w:val="Balloon Text"/>
    <w:basedOn w:val="1"/>
    <w:link w:val="18"/>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纯文本 字符"/>
    <w:basedOn w:val="9"/>
    <w:link w:val="3"/>
    <w:semiHidden/>
    <w:qFormat/>
    <w:uiPriority w:val="0"/>
    <w:rPr>
      <w:rFonts w:ascii="宋体" w:hAnsi="Courier New"/>
    </w:rPr>
  </w:style>
  <w:style w:type="paragraph" w:customStyle="1" w:styleId="15">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6">
    <w:name w:val="批注文字 字符"/>
    <w:basedOn w:val="9"/>
    <w:link w:val="2"/>
    <w:qFormat/>
    <w:uiPriority w:val="99"/>
    <w:rPr>
      <w:rFonts w:ascii="Times New Roman" w:hAnsi="Times New Roman" w:eastAsia="宋体" w:cs="Times New Roman"/>
      <w:szCs w:val="24"/>
    </w:rPr>
  </w:style>
  <w:style w:type="character" w:customStyle="1" w:styleId="17">
    <w:name w:val="批注主题 字符"/>
    <w:basedOn w:val="16"/>
    <w:link w:val="7"/>
    <w:semiHidden/>
    <w:qFormat/>
    <w:uiPriority w:val="99"/>
    <w:rPr>
      <w:rFonts w:ascii="Times New Roman" w:hAnsi="Times New Roman" w:eastAsia="宋体" w:cs="Times New Roman"/>
      <w:b/>
      <w:bCs/>
      <w:szCs w:val="24"/>
    </w:rPr>
  </w:style>
  <w:style w:type="character" w:customStyle="1" w:styleId="18">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1388</Words>
  <Characters>1436</Characters>
  <Lines>6</Lines>
  <Paragraphs>1</Paragraphs>
  <TotalTime>12</TotalTime>
  <ScaleCrop>false</ScaleCrop>
  <LinksUpToDate>false</LinksUpToDate>
  <CharactersWithSpaces>1436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2023-08-02T06:06:00Z</dcterms:created>
  <dc:creator>Lsy</dc:creator>
  <cp:lastModifiedBy>jsyj-ysc2</cp:lastModifiedBy>
  <dcterms:modified xsi:type="dcterms:W3CDTF">2023-09-03T06:13:26Z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3E712653ABC144C8A19DDCF58CF64161_12</vt:lpwstr>
  </property>
</Properties>
</file>